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24"/>
          <w:szCs w:val="24"/>
        </w:rPr>
      </w:pPr>
      <w:bookmarkStart w:id="0" w:name="_GoBack"/>
      <w:r>
        <w:rPr>
          <w:rFonts w:hint="eastAsia" w:ascii="宋体" w:hAnsi="宋体"/>
          <w:b/>
          <w:bCs/>
          <w:sz w:val="24"/>
          <w:szCs w:val="24"/>
          <w:lang w:val="en-US" w:eastAsia="zh-CN"/>
        </w:rPr>
        <w:t>有创血压</w:t>
      </w:r>
      <w:r>
        <w:rPr>
          <w:rFonts w:hint="eastAsia" w:ascii="宋体" w:hAnsi="宋体"/>
          <w:b/>
          <w:bCs/>
          <w:sz w:val="24"/>
          <w:szCs w:val="24"/>
        </w:rPr>
        <w:t>监护仪参数</w:t>
      </w:r>
    </w:p>
    <w:bookmarkEnd w:id="0"/>
    <w:p>
      <w:pPr>
        <w:autoSpaceDE w:val="0"/>
        <w:autoSpaceDN w:val="0"/>
        <w:adjustRightInd w:val="0"/>
        <w:spacing w:line="360" w:lineRule="auto"/>
        <w:rPr>
          <w:rFonts w:ascii="宋体" w:hAnsi="宋体"/>
          <w:b/>
          <w:sz w:val="24"/>
          <w:szCs w:val="24"/>
        </w:rPr>
      </w:pPr>
      <w:r>
        <w:rPr>
          <w:rFonts w:hint="eastAsia" w:ascii="宋体" w:hAnsi="宋体"/>
          <w:b/>
          <w:sz w:val="24"/>
          <w:szCs w:val="24"/>
        </w:rPr>
        <w:t>监护仪结构：</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模块化插件式床边监护仪，主机、显示屏和插件槽一体化设计，主机插槽数≥4个</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监护仪主机（非辅助插件箱）每个槽位均具备插件模块红外通讯接口以及金属硬件通讯接口（非供电接口），保证模块通讯速率及稳定性</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ab/>
      </w:r>
      <w:r>
        <w:rPr>
          <w:rFonts w:hint="eastAsia" w:ascii="宋体" w:hAnsi="宋体"/>
          <w:sz w:val="24"/>
          <w:szCs w:val="24"/>
        </w:rPr>
        <w:t>★≥12英寸彩色电容触摸屏，高分辨率≥1280×800像素，≥8通道显示，显示屏亮度自动调节，屏幕支持手势滑动操作，支持穿戴医用防护手套操作</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采用无风扇设计</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可内置高能锂电池，供电时间≥4小时</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配置≥4个USB接口，支持连接存储介质、鼠标、键盘、条码扫描枪等USB设备</w:t>
      </w:r>
    </w:p>
    <w:p>
      <w:pPr>
        <w:autoSpaceDE w:val="0"/>
        <w:autoSpaceDN w:val="0"/>
        <w:adjustRightInd w:val="0"/>
        <w:spacing w:line="360" w:lineRule="auto"/>
        <w:rPr>
          <w:rFonts w:ascii="宋体" w:hAnsi="宋体"/>
          <w:b/>
          <w:sz w:val="24"/>
          <w:szCs w:val="24"/>
        </w:rPr>
      </w:pPr>
      <w:r>
        <w:rPr>
          <w:rFonts w:hint="eastAsia" w:ascii="宋体" w:hAnsi="宋体"/>
          <w:b/>
          <w:sz w:val="24"/>
          <w:szCs w:val="24"/>
        </w:rPr>
        <w:t>监测参数：</w:t>
      </w:r>
    </w:p>
    <w:p>
      <w:pPr>
        <w:widowControl w:val="0"/>
        <w:numPr>
          <w:ilvl w:val="0"/>
          <w:numId w:val="1"/>
        </w:numPr>
        <w:autoSpaceDE w:val="0"/>
        <w:autoSpaceDN w:val="0"/>
        <w:adjustRightInd w:val="0"/>
        <w:spacing w:after="0" w:line="360" w:lineRule="auto"/>
        <w:ind w:left="840" w:leftChars="0" w:firstLineChars="0"/>
        <w:rPr>
          <w:rFonts w:ascii="宋体" w:hAnsi="宋体"/>
          <w:b/>
          <w:bCs/>
          <w:sz w:val="24"/>
          <w:szCs w:val="24"/>
        </w:rPr>
      </w:pPr>
      <w:r>
        <w:rPr>
          <w:rFonts w:hint="eastAsia" w:ascii="宋体" w:hAnsi="宋体"/>
          <w:b/>
          <w:bCs/>
          <w:sz w:val="24"/>
          <w:szCs w:val="24"/>
        </w:rPr>
        <w:t>基本功能模块支持心电，呼吸，心率，无创血压，血氧饱和度，脉搏，双通道体温和双通道有创血压的同时监测</w:t>
      </w:r>
      <w:r>
        <w:rPr>
          <w:rFonts w:ascii="宋体" w:hAnsi="宋体"/>
          <w:b/>
          <w:bCs/>
          <w:sz w:val="24"/>
          <w:szCs w:val="24"/>
        </w:rPr>
        <w:t>。</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★基本功能模块支持升级从监护仪拔出后作为一个独立的监护仪支持病人的无缝转移，插入监护仪操作插槽作为主机模块，具有独立操作显示屏，屏幕尺寸≥</w:t>
      </w:r>
      <w:r>
        <w:rPr>
          <w:rFonts w:ascii="宋体" w:hAnsi="宋体"/>
          <w:sz w:val="24"/>
          <w:szCs w:val="24"/>
        </w:rPr>
        <w:t>5.5</w:t>
      </w:r>
      <w:r>
        <w:rPr>
          <w:rFonts w:hint="eastAsia" w:ascii="宋体" w:hAnsi="宋体"/>
          <w:sz w:val="24"/>
          <w:szCs w:val="24"/>
        </w:rPr>
        <w:t>英寸，内置锂电池供电≥</w:t>
      </w:r>
      <w:r>
        <w:rPr>
          <w:rFonts w:ascii="宋体" w:hAnsi="宋体"/>
          <w:sz w:val="24"/>
          <w:szCs w:val="24"/>
        </w:rPr>
        <w:t>4</w:t>
      </w:r>
      <w:r>
        <w:rPr>
          <w:rFonts w:hint="eastAsia" w:ascii="宋体" w:hAnsi="宋体"/>
          <w:sz w:val="24"/>
          <w:szCs w:val="24"/>
        </w:rPr>
        <w:t>小时，无风扇设计</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b/>
          <w:bCs/>
          <w:sz w:val="24"/>
          <w:szCs w:val="24"/>
        </w:rPr>
        <w:t>ECG支持3/5导心电监测，可选配6</w:t>
      </w:r>
      <w:r>
        <w:rPr>
          <w:rFonts w:ascii="宋体" w:hAnsi="宋体"/>
          <w:b/>
          <w:bCs/>
          <w:sz w:val="24"/>
          <w:szCs w:val="24"/>
        </w:rPr>
        <w:t>/12</w:t>
      </w:r>
      <w:r>
        <w:rPr>
          <w:rFonts w:hint="eastAsia" w:ascii="宋体" w:hAnsi="宋体"/>
          <w:b/>
          <w:bCs/>
          <w:sz w:val="24"/>
          <w:szCs w:val="24"/>
        </w:rPr>
        <w:t>导联心电监测</w:t>
      </w:r>
      <w:r>
        <w:rPr>
          <w:rFonts w:hint="eastAsia" w:ascii="宋体" w:hAnsi="宋体"/>
          <w:sz w:val="24"/>
          <w:szCs w:val="24"/>
        </w:rPr>
        <w:t>。</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★支持房颤及室上性心律失常分析功能，如：室上性心动过速，SVCs</w:t>
      </w:r>
      <w:r>
        <w:rPr>
          <w:rFonts w:ascii="宋体" w:hAnsi="宋体"/>
          <w:sz w:val="24"/>
          <w:szCs w:val="24"/>
        </w:rPr>
        <w:t>/</w:t>
      </w:r>
      <w:r>
        <w:rPr>
          <w:rFonts w:hint="eastAsia" w:ascii="宋体" w:hAnsi="宋体"/>
          <w:sz w:val="24"/>
          <w:szCs w:val="24"/>
        </w:rPr>
        <w:t>min等，标配支持≥2</w:t>
      </w:r>
      <w:r>
        <w:rPr>
          <w:rFonts w:ascii="宋体" w:hAnsi="宋体"/>
          <w:sz w:val="24"/>
          <w:szCs w:val="24"/>
        </w:rPr>
        <w:t>7</w:t>
      </w:r>
      <w:r>
        <w:rPr>
          <w:rFonts w:hint="eastAsia" w:ascii="宋体" w:hAnsi="宋体"/>
          <w:sz w:val="24"/>
          <w:szCs w:val="24"/>
        </w:rPr>
        <w:t>种实时心律失常分析</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支持≥</w:t>
      </w:r>
      <w:r>
        <w:rPr>
          <w:rFonts w:ascii="宋体" w:hAnsi="宋体"/>
          <w:sz w:val="24"/>
          <w:szCs w:val="24"/>
        </w:rPr>
        <w:t>3</w:t>
      </w:r>
      <w:r>
        <w:rPr>
          <w:rFonts w:hint="eastAsia" w:ascii="宋体" w:hAnsi="宋体"/>
          <w:sz w:val="24"/>
          <w:szCs w:val="24"/>
        </w:rPr>
        <w:t>通道心电波形同步分析，可进行多导心电分析，提供产品界面、手册截图或技术专利证名材料</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color w:val="000000"/>
          <w:sz w:val="24"/>
          <w:szCs w:val="24"/>
        </w:rPr>
        <w:t>支持RR呼吸率测量，测量范围：</w:t>
      </w:r>
      <w:r>
        <w:rPr>
          <w:rFonts w:ascii="宋体" w:hAnsi="宋体"/>
          <w:color w:val="000000"/>
          <w:sz w:val="24"/>
          <w:szCs w:val="24"/>
        </w:rPr>
        <w:t>0</w:t>
      </w:r>
      <w:r>
        <w:rPr>
          <w:rFonts w:hint="eastAsia" w:ascii="宋体" w:hAnsi="宋体"/>
          <w:color w:val="000000"/>
          <w:sz w:val="24"/>
          <w:szCs w:val="24"/>
        </w:rPr>
        <w:t>～</w:t>
      </w:r>
      <w:r>
        <w:rPr>
          <w:rFonts w:ascii="宋体" w:hAnsi="宋体"/>
          <w:color w:val="000000"/>
          <w:sz w:val="24"/>
          <w:szCs w:val="24"/>
        </w:rPr>
        <w:t>200rpm</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ascii="宋体" w:hAnsi="宋体"/>
          <w:sz w:val="24"/>
          <w:szCs w:val="24"/>
        </w:rPr>
        <w:t>具有</w:t>
      </w:r>
      <w:r>
        <w:rPr>
          <w:rFonts w:hint="eastAsia" w:ascii="宋体" w:hAnsi="宋体"/>
          <w:sz w:val="24"/>
          <w:szCs w:val="24"/>
        </w:rPr>
        <w:t>QT/QTc实时连续测量功能，提供QT，QTc和ΔQTc参数值的显示</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无创血压适用于成人，小儿和新生儿</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★无创血压</w:t>
      </w:r>
      <w:r>
        <w:rPr>
          <w:rFonts w:ascii="宋体" w:hAnsi="宋体"/>
          <w:sz w:val="24"/>
          <w:szCs w:val="24"/>
        </w:rPr>
        <w:t>提供手动、自动间隔、连续</w:t>
      </w:r>
      <w:r>
        <w:rPr>
          <w:rFonts w:hint="eastAsia" w:ascii="宋体" w:hAnsi="宋体"/>
          <w:sz w:val="24"/>
          <w:szCs w:val="24"/>
        </w:rPr>
        <w:t>、</w:t>
      </w:r>
      <w:r>
        <w:rPr>
          <w:rFonts w:ascii="宋体" w:hAnsi="宋体"/>
          <w:sz w:val="24"/>
          <w:szCs w:val="24"/>
        </w:rPr>
        <w:t>序列</w:t>
      </w:r>
      <w:r>
        <w:rPr>
          <w:rFonts w:hint="eastAsia" w:ascii="宋体" w:hAnsi="宋体"/>
          <w:sz w:val="24"/>
          <w:szCs w:val="24"/>
        </w:rPr>
        <w:t>、整点五</w:t>
      </w:r>
      <w:r>
        <w:rPr>
          <w:rFonts w:ascii="宋体" w:hAnsi="宋体"/>
          <w:sz w:val="24"/>
          <w:szCs w:val="24"/>
        </w:rPr>
        <w:t>种测量模式</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提供辅助静脉穿刺功能</w:t>
      </w:r>
    </w:p>
    <w:p>
      <w:pPr>
        <w:widowControl w:val="0"/>
        <w:numPr>
          <w:ilvl w:val="0"/>
          <w:numId w:val="1"/>
        </w:numPr>
        <w:tabs>
          <w:tab w:val="clear" w:pos="704"/>
        </w:tabs>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w:t>
      </w:r>
      <w:r>
        <w:rPr>
          <w:rFonts w:ascii="宋体" w:hAnsi="宋体"/>
          <w:color w:val="000000"/>
          <w:sz w:val="24"/>
          <w:szCs w:val="24"/>
        </w:rPr>
        <w:t>N</w:t>
      </w:r>
      <w:r>
        <w:rPr>
          <w:rFonts w:ascii="宋体" w:hAnsi="宋体"/>
          <w:sz w:val="24"/>
          <w:szCs w:val="24"/>
        </w:rPr>
        <w:t xml:space="preserve">IBP </w:t>
      </w:r>
      <w:r>
        <w:rPr>
          <w:rFonts w:hint="eastAsia" w:ascii="宋体" w:hAnsi="宋体"/>
          <w:sz w:val="24"/>
          <w:szCs w:val="24"/>
        </w:rPr>
        <w:t>成人病人类型收缩压测量：</w:t>
      </w:r>
      <w:r>
        <w:rPr>
          <w:rFonts w:ascii="宋体" w:hAnsi="宋体"/>
          <w:sz w:val="24"/>
          <w:szCs w:val="24"/>
        </w:rPr>
        <w:t>25</w:t>
      </w:r>
      <w:r>
        <w:rPr>
          <w:rFonts w:hint="eastAsia" w:ascii="宋体" w:hAnsi="宋体"/>
          <w:sz w:val="24"/>
          <w:szCs w:val="24"/>
        </w:rPr>
        <w:t>～</w:t>
      </w:r>
      <w:r>
        <w:rPr>
          <w:rFonts w:ascii="宋体" w:hAnsi="宋体"/>
          <w:sz w:val="24"/>
          <w:szCs w:val="24"/>
        </w:rPr>
        <w:t>290mmHg</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血氧监测适用于成人，小儿和新生儿</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配置指套式血氧探头，支持浸泡清洁与消毒，防水等级IPx7</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b/>
          <w:bCs/>
          <w:sz w:val="24"/>
          <w:szCs w:val="24"/>
        </w:rPr>
        <w:t>支持双通道有创压IBP监测</w:t>
      </w:r>
    </w:p>
    <w:p>
      <w:pPr>
        <w:widowControl w:val="0"/>
        <w:numPr>
          <w:ilvl w:val="0"/>
          <w:numId w:val="1"/>
        </w:numPr>
        <w:autoSpaceDE w:val="0"/>
        <w:autoSpaceDN w:val="0"/>
        <w:adjustRightInd w:val="0"/>
        <w:spacing w:after="0" w:line="360" w:lineRule="auto"/>
        <w:ind w:left="840" w:leftChars="0" w:firstLineChars="0"/>
        <w:rPr>
          <w:rFonts w:ascii="宋体" w:hAnsi="宋体"/>
          <w:b/>
          <w:bCs/>
          <w:sz w:val="24"/>
          <w:szCs w:val="24"/>
        </w:rPr>
      </w:pPr>
      <w:r>
        <w:rPr>
          <w:rFonts w:hint="eastAsia" w:ascii="宋体" w:hAnsi="宋体"/>
          <w:b/>
          <w:bCs/>
          <w:sz w:val="24"/>
          <w:szCs w:val="24"/>
        </w:rPr>
        <w:t>有创压适用于成人，小儿和新生儿</w:t>
      </w:r>
    </w:p>
    <w:p>
      <w:pPr>
        <w:widowControl w:val="0"/>
        <w:numPr>
          <w:ilvl w:val="0"/>
          <w:numId w:val="1"/>
        </w:numPr>
        <w:autoSpaceDE w:val="0"/>
        <w:autoSpaceDN w:val="0"/>
        <w:adjustRightInd w:val="0"/>
        <w:spacing w:after="0" w:line="360" w:lineRule="auto"/>
        <w:ind w:left="840" w:leftChars="0" w:firstLineChars="0"/>
        <w:rPr>
          <w:rFonts w:ascii="宋体" w:hAnsi="宋体"/>
          <w:b/>
          <w:bCs/>
          <w:sz w:val="24"/>
          <w:szCs w:val="24"/>
        </w:rPr>
      </w:pPr>
      <w:r>
        <w:rPr>
          <w:rFonts w:ascii="宋体" w:hAnsi="宋体"/>
          <w:b/>
          <w:bCs/>
          <w:color w:val="000000"/>
          <w:sz w:val="24"/>
          <w:szCs w:val="24"/>
        </w:rPr>
        <w:t>IBP</w:t>
      </w:r>
      <w:r>
        <w:rPr>
          <w:rFonts w:hint="eastAsia" w:ascii="宋体" w:hAnsi="宋体"/>
          <w:b/>
          <w:bCs/>
          <w:color w:val="000000"/>
          <w:sz w:val="24"/>
          <w:szCs w:val="24"/>
        </w:rPr>
        <w:t>有创压测量范围：</w:t>
      </w:r>
      <w:r>
        <w:rPr>
          <w:rFonts w:ascii="宋体" w:hAnsi="宋体"/>
          <w:b/>
          <w:bCs/>
          <w:color w:val="000000"/>
          <w:sz w:val="24"/>
          <w:szCs w:val="24"/>
        </w:rPr>
        <w:t>-50</w:t>
      </w:r>
      <w:r>
        <w:rPr>
          <w:rFonts w:hint="eastAsia" w:ascii="宋体" w:hAnsi="宋体"/>
          <w:b/>
          <w:bCs/>
          <w:color w:val="000000"/>
          <w:sz w:val="24"/>
          <w:szCs w:val="24"/>
        </w:rPr>
        <w:t>～</w:t>
      </w:r>
      <w:r>
        <w:rPr>
          <w:rFonts w:ascii="宋体" w:hAnsi="宋体"/>
          <w:b/>
          <w:bCs/>
          <w:color w:val="000000"/>
          <w:sz w:val="24"/>
          <w:szCs w:val="24"/>
        </w:rPr>
        <w:t>360mmHg</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提供肺动脉锲压（PAWP）的监测和PPV参数监测</w:t>
      </w:r>
      <w:r>
        <w:rPr>
          <w:rFonts w:ascii="宋体" w:hAnsi="宋体"/>
          <w:sz w:val="24"/>
          <w:szCs w:val="24"/>
        </w:rPr>
        <w:t xml:space="preserve"> </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支持多达</w:t>
      </w:r>
      <w:r>
        <w:rPr>
          <w:rFonts w:ascii="宋体" w:hAnsi="宋体"/>
          <w:sz w:val="24"/>
          <w:szCs w:val="24"/>
        </w:rPr>
        <w:t>6</w:t>
      </w:r>
      <w:r>
        <w:rPr>
          <w:rFonts w:hint="eastAsia" w:ascii="宋体" w:hAnsi="宋体"/>
          <w:sz w:val="24"/>
          <w:szCs w:val="24"/>
        </w:rPr>
        <w:t>道IBP波形叠加显示，满足临床对比查看和节约显示空间的需求</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★支持升级麻醉深度BIS、肌松NMT模块</w:t>
      </w:r>
    </w:p>
    <w:p>
      <w:pPr>
        <w:widowControl w:val="0"/>
        <w:numPr>
          <w:ilvl w:val="0"/>
          <w:numId w:val="1"/>
        </w:numPr>
        <w:autoSpaceDE w:val="0"/>
        <w:autoSpaceDN w:val="0"/>
        <w:adjustRightInd w:val="0"/>
        <w:spacing w:after="0" w:line="360" w:lineRule="auto"/>
        <w:ind w:left="840" w:leftChars="0" w:firstLineChars="0"/>
        <w:rPr>
          <w:rFonts w:ascii="宋体" w:hAnsi="宋体"/>
          <w:sz w:val="24"/>
          <w:szCs w:val="24"/>
        </w:rPr>
      </w:pPr>
      <w:r>
        <w:rPr>
          <w:rFonts w:hint="eastAsia" w:ascii="宋体" w:hAnsi="宋体"/>
          <w:sz w:val="24"/>
          <w:szCs w:val="24"/>
        </w:rPr>
        <w:t>★支持升级PiCCO技术监测功能模块，非漂浮导管热稀释法或无创胸阻抗法，可监测胸腔内血容量(ITBV)、血管外肺水(EVLW)，肺毛细血管通透性指数(PVPI)等参数，提供完整的血流动力学参数监测</w:t>
      </w:r>
    </w:p>
    <w:p>
      <w:pPr>
        <w:pStyle w:val="11"/>
        <w:widowControl w:val="0"/>
        <w:numPr>
          <w:ilvl w:val="0"/>
          <w:numId w:val="1"/>
        </w:numPr>
        <w:autoSpaceDE w:val="0"/>
        <w:autoSpaceDN w:val="0"/>
        <w:adjustRightInd w:val="0"/>
        <w:spacing w:line="360" w:lineRule="auto"/>
        <w:ind w:left="420" w:leftChars="0" w:firstLine="0" w:firstLineChars="0"/>
        <w:jc w:val="left"/>
        <w:rPr>
          <w:rFonts w:ascii="宋体" w:hAnsi="宋体"/>
          <w:sz w:val="24"/>
          <w:szCs w:val="24"/>
        </w:rPr>
      </w:pPr>
      <w:r>
        <w:rPr>
          <w:rFonts w:hint="eastAsia"/>
          <w:color w:val="000000"/>
        </w:rPr>
        <w:t>支持升级模块，可与主流品牌的呼吸机、输注泵产品相连，实现呼吸机、</w:t>
      </w:r>
      <w:r>
        <w:rPr>
          <w:rFonts w:hint="eastAsia"/>
          <w:color w:val="000000"/>
          <w:lang w:val="en-US" w:eastAsia="zh-CN"/>
        </w:rPr>
        <w:t xml:space="preserve">    </w:t>
      </w:r>
      <w:r>
        <w:rPr>
          <w:rFonts w:hint="eastAsia"/>
          <w:color w:val="000000"/>
        </w:rPr>
        <w:t>输注泵设备的信息在监护仪上显示、存储、记录、打印或者用于参与计算。</w:t>
      </w:r>
    </w:p>
    <w:p>
      <w:pPr>
        <w:spacing w:line="360" w:lineRule="auto"/>
        <w:ind w:right="-512" w:rightChars="-244"/>
        <w:rPr>
          <w:rFonts w:ascii="宋体" w:hAnsi="宋体"/>
          <w:b/>
          <w:sz w:val="24"/>
          <w:szCs w:val="24"/>
        </w:rPr>
      </w:pPr>
      <w:r>
        <w:rPr>
          <w:rFonts w:hint="eastAsia" w:ascii="宋体" w:hAnsi="宋体"/>
          <w:b/>
          <w:sz w:val="24"/>
          <w:szCs w:val="24"/>
        </w:rPr>
        <w:t>系统功能：</w:t>
      </w:r>
    </w:p>
    <w:p>
      <w:pPr>
        <w:widowControl w:val="0"/>
        <w:numPr>
          <w:ilvl w:val="0"/>
          <w:numId w:val="1"/>
        </w:numPr>
        <w:spacing w:after="0" w:line="360" w:lineRule="auto"/>
        <w:ind w:left="840" w:leftChars="0" w:firstLineChars="0"/>
        <w:jc w:val="both"/>
        <w:rPr>
          <w:rFonts w:ascii="宋体" w:hAnsi="宋体"/>
          <w:color w:val="000000"/>
          <w:sz w:val="24"/>
          <w:szCs w:val="24"/>
        </w:rPr>
      </w:pPr>
      <w:r>
        <w:rPr>
          <w:rFonts w:ascii="宋体" w:hAnsi="宋体"/>
          <w:sz w:val="24"/>
          <w:szCs w:val="24"/>
        </w:rPr>
        <w:t>具有图形化报警指示功能，看报警信息更容易</w:t>
      </w:r>
    </w:p>
    <w:p>
      <w:pPr>
        <w:widowControl w:val="0"/>
        <w:numPr>
          <w:ilvl w:val="0"/>
          <w:numId w:val="1"/>
        </w:numPr>
        <w:spacing w:after="0" w:line="360" w:lineRule="auto"/>
        <w:ind w:left="840" w:leftChars="0" w:firstLineChars="0"/>
        <w:jc w:val="both"/>
        <w:rPr>
          <w:rFonts w:ascii="宋体" w:hAnsi="宋体"/>
          <w:color w:val="000000"/>
          <w:sz w:val="24"/>
          <w:szCs w:val="24"/>
        </w:rPr>
      </w:pPr>
      <w:r>
        <w:rPr>
          <w:rFonts w:hint="eastAsia" w:ascii="宋体" w:hAnsi="宋体"/>
          <w:color w:val="000000"/>
          <w:sz w:val="24"/>
          <w:szCs w:val="24"/>
        </w:rPr>
        <w:t>具有报警升级功能，当参数报警经过一定的时间未被处理或伴发了其他报警，就会升级到更高一个级别</w:t>
      </w:r>
    </w:p>
    <w:p>
      <w:pPr>
        <w:widowControl w:val="0"/>
        <w:numPr>
          <w:ilvl w:val="0"/>
          <w:numId w:val="1"/>
        </w:numPr>
        <w:spacing w:after="0" w:line="360" w:lineRule="auto"/>
        <w:ind w:left="840" w:leftChars="0" w:firstLineChars="0"/>
        <w:jc w:val="both"/>
        <w:rPr>
          <w:rFonts w:ascii="宋体" w:hAnsi="宋体"/>
          <w:color w:val="000000"/>
          <w:sz w:val="24"/>
          <w:szCs w:val="24"/>
        </w:rPr>
      </w:pPr>
      <w:r>
        <w:rPr>
          <w:rFonts w:hint="eastAsia" w:ascii="宋体" w:hAnsi="宋体"/>
          <w:color w:val="000000"/>
          <w:sz w:val="24"/>
          <w:szCs w:val="24"/>
        </w:rPr>
        <w:t>具有特殊报警音，当监护仪在病人发生致命性参数报警时，发出特殊的报警音进行提示病人处于危急状态</w:t>
      </w:r>
    </w:p>
    <w:p>
      <w:pPr>
        <w:widowControl w:val="0"/>
        <w:numPr>
          <w:ilvl w:val="0"/>
          <w:numId w:val="1"/>
        </w:numPr>
        <w:spacing w:after="0" w:line="360" w:lineRule="auto"/>
        <w:ind w:left="840" w:leftChars="0" w:firstLineChars="0"/>
        <w:jc w:val="both"/>
        <w:rPr>
          <w:rFonts w:ascii="宋体" w:hAnsi="宋体"/>
          <w:color w:val="000000"/>
          <w:sz w:val="24"/>
          <w:szCs w:val="24"/>
        </w:rPr>
      </w:pPr>
      <w:r>
        <w:rPr>
          <w:rFonts w:hint="eastAsia" w:ascii="宋体" w:hAnsi="宋体"/>
          <w:color w:val="000000"/>
          <w:sz w:val="24"/>
          <w:szCs w:val="24"/>
        </w:rPr>
        <w:t>支持根据病人的参数趋势变化，自动推送推荐报警限</w:t>
      </w:r>
    </w:p>
    <w:p>
      <w:pPr>
        <w:widowControl w:val="0"/>
        <w:numPr>
          <w:ilvl w:val="0"/>
          <w:numId w:val="1"/>
        </w:numPr>
        <w:spacing w:after="0" w:line="360" w:lineRule="auto"/>
        <w:ind w:left="840" w:leftChars="0" w:firstLineChars="0"/>
        <w:jc w:val="both"/>
        <w:rPr>
          <w:rFonts w:ascii="宋体" w:hAnsi="宋体"/>
          <w:color w:val="000000"/>
          <w:sz w:val="24"/>
          <w:szCs w:val="24"/>
        </w:rPr>
      </w:pPr>
      <w:r>
        <w:rPr>
          <w:rFonts w:hint="eastAsia" w:ascii="宋体" w:hAnsi="宋体"/>
          <w:sz w:val="24"/>
          <w:szCs w:val="24"/>
        </w:rPr>
        <w:t>★</w:t>
      </w:r>
      <w:r>
        <w:rPr>
          <w:rFonts w:hint="eastAsia" w:ascii="宋体" w:hAnsi="宋体"/>
          <w:color w:val="000000"/>
          <w:sz w:val="24"/>
          <w:szCs w:val="24"/>
        </w:rPr>
        <w:t>具备参数组合报警功能，可对患者同时多个参数变化给出统一报警提示，预示病人不同生理系统状态改变，提供≥1</w:t>
      </w:r>
      <w:r>
        <w:rPr>
          <w:rFonts w:ascii="宋体" w:hAnsi="宋体"/>
          <w:color w:val="000000"/>
          <w:sz w:val="24"/>
          <w:szCs w:val="24"/>
        </w:rPr>
        <w:t>0</w:t>
      </w:r>
      <w:r>
        <w:rPr>
          <w:rFonts w:hint="eastAsia" w:ascii="宋体" w:hAnsi="宋体"/>
          <w:color w:val="000000"/>
          <w:sz w:val="24"/>
          <w:szCs w:val="24"/>
        </w:rPr>
        <w:t>个预设组合报警，并允许自定义≥1</w:t>
      </w:r>
      <w:r>
        <w:rPr>
          <w:rFonts w:ascii="宋体" w:hAnsi="宋体"/>
          <w:color w:val="000000"/>
          <w:sz w:val="24"/>
          <w:szCs w:val="24"/>
        </w:rPr>
        <w:t>0</w:t>
      </w:r>
      <w:r>
        <w:rPr>
          <w:rFonts w:hint="eastAsia" w:ascii="宋体" w:hAnsi="宋体"/>
          <w:color w:val="000000"/>
          <w:sz w:val="24"/>
          <w:szCs w:val="24"/>
        </w:rPr>
        <w:t>个组合报警</w:t>
      </w:r>
    </w:p>
    <w:p>
      <w:pPr>
        <w:widowControl w:val="0"/>
        <w:numPr>
          <w:ilvl w:val="0"/>
          <w:numId w:val="1"/>
        </w:numPr>
        <w:spacing w:after="0" w:line="360" w:lineRule="auto"/>
        <w:ind w:left="840" w:leftChars="0" w:firstLineChars="0"/>
        <w:jc w:val="both"/>
        <w:rPr>
          <w:rFonts w:ascii="宋体" w:hAnsi="宋体"/>
          <w:color w:val="000000"/>
          <w:sz w:val="24"/>
          <w:szCs w:val="24"/>
        </w:rPr>
      </w:pPr>
      <w:r>
        <w:rPr>
          <w:rFonts w:hint="eastAsia" w:ascii="宋体" w:hAnsi="宋体"/>
          <w:color w:val="000000"/>
          <w:sz w:val="24"/>
          <w:szCs w:val="24"/>
        </w:rPr>
        <w:t>标配具备血液动力学，药物计算，氧合计算，通气计算和肾功能计算功能</w:t>
      </w:r>
      <w:r>
        <w:rPr>
          <w:rFonts w:ascii="宋体" w:hAnsi="宋体"/>
          <w:color w:val="000000"/>
          <w:sz w:val="24"/>
          <w:szCs w:val="24"/>
        </w:rPr>
        <w:t xml:space="preserve"> </w:t>
      </w:r>
    </w:p>
    <w:p>
      <w:pPr>
        <w:widowControl w:val="0"/>
        <w:numPr>
          <w:ilvl w:val="0"/>
          <w:numId w:val="1"/>
        </w:numPr>
        <w:spacing w:after="0" w:line="360" w:lineRule="auto"/>
        <w:ind w:left="840" w:leftChars="0" w:firstLineChars="0"/>
        <w:jc w:val="both"/>
        <w:rPr>
          <w:rFonts w:ascii="宋体" w:hAnsi="宋体"/>
          <w:sz w:val="24"/>
          <w:szCs w:val="24"/>
        </w:rPr>
      </w:pPr>
      <w:r>
        <w:rPr>
          <w:rFonts w:hint="eastAsia" w:ascii="宋体" w:hAnsi="宋体"/>
          <w:sz w:val="24"/>
          <w:szCs w:val="24"/>
        </w:rPr>
        <w:t>工作模式提供：监护模式、待机模式、抢救模式，</w:t>
      </w:r>
      <w:r>
        <w:rPr>
          <w:rFonts w:ascii="宋体" w:hAnsi="宋体"/>
          <w:sz w:val="24"/>
          <w:szCs w:val="24"/>
        </w:rPr>
        <w:t>体外循环模式、插管模式，夜间模式、隐私模式、演示模式</w:t>
      </w:r>
    </w:p>
    <w:p>
      <w:pPr>
        <w:widowControl w:val="0"/>
        <w:numPr>
          <w:ilvl w:val="0"/>
          <w:numId w:val="1"/>
        </w:numPr>
        <w:spacing w:after="0" w:line="360" w:lineRule="auto"/>
        <w:ind w:left="840" w:leftChars="0" w:firstLineChars="0"/>
        <w:jc w:val="both"/>
        <w:rPr>
          <w:rFonts w:ascii="宋体" w:hAnsi="宋体"/>
          <w:sz w:val="24"/>
          <w:szCs w:val="24"/>
        </w:rPr>
      </w:pPr>
      <w:r>
        <w:rPr>
          <w:rFonts w:hint="eastAsia" w:ascii="宋体" w:hAnsi="宋体"/>
          <w:sz w:val="24"/>
          <w:szCs w:val="24"/>
        </w:rPr>
        <w:t>支持与除颤监护仪，遥测，生命体征监测仪、呼吸机混合联通至中心监护系统，实现护士站的集中管理</w:t>
      </w:r>
    </w:p>
    <w:p>
      <w:pPr>
        <w:widowControl w:val="0"/>
        <w:spacing w:after="0" w:line="360" w:lineRule="auto"/>
        <w:ind w:left="420"/>
        <w:jc w:val="both"/>
        <w:rPr>
          <w:rFonts w:ascii="宋体" w:hAnsi="宋体"/>
          <w:b/>
          <w:sz w:val="24"/>
          <w:szCs w:val="24"/>
        </w:rPr>
      </w:pPr>
      <w:r>
        <w:rPr>
          <w:rFonts w:hint="eastAsia" w:ascii="宋体" w:hAnsi="宋体"/>
          <w:b/>
          <w:sz w:val="24"/>
          <w:szCs w:val="24"/>
        </w:rPr>
        <w:t>产品设计与认证：</w:t>
      </w:r>
    </w:p>
    <w:p>
      <w:pPr>
        <w:pStyle w:val="11"/>
        <w:numPr>
          <w:ilvl w:val="0"/>
          <w:numId w:val="1"/>
        </w:numPr>
        <w:spacing w:line="360" w:lineRule="auto"/>
        <w:ind w:left="840" w:leftChars="0" w:right="-512" w:rightChars="-244" w:firstLineChars="0"/>
      </w:pPr>
      <w:r>
        <w:rPr>
          <w:rFonts w:hint="eastAsia"/>
        </w:rPr>
        <w:t>产品设计使用年限≥</w:t>
      </w:r>
      <w:r>
        <w:t>10</w:t>
      </w:r>
      <w:r>
        <w:rPr>
          <w:rFonts w:hint="eastAsia"/>
        </w:rPr>
        <w:t>年</w:t>
      </w:r>
    </w:p>
    <w:p>
      <w:pPr>
        <w:pStyle w:val="11"/>
        <w:numPr>
          <w:ilvl w:val="0"/>
          <w:numId w:val="1"/>
        </w:numPr>
        <w:spacing w:line="360" w:lineRule="auto"/>
        <w:ind w:left="840" w:leftChars="0" w:right="-512" w:rightChars="-244" w:firstLineChars="0"/>
      </w:pPr>
      <w:r>
        <w:rPr>
          <w:rFonts w:hint="eastAsia"/>
        </w:rPr>
        <w:t>★产品型号入选优秀国产医疗设备产品目录（有效期内）。</w:t>
      </w:r>
    </w:p>
    <w:p>
      <w:pPr>
        <w:spacing w:line="360" w:lineRule="auto"/>
        <w:ind w:right="-512" w:rightChars="-244"/>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E7489"/>
    <w:multiLevelType w:val="multilevel"/>
    <w:tmpl w:val="06AE7489"/>
    <w:lvl w:ilvl="0" w:tentative="0">
      <w:start w:val="1"/>
      <w:numFmt w:val="decimal"/>
      <w:lvlText w:val="%1."/>
      <w:lvlJc w:val="left"/>
      <w:pPr>
        <w:tabs>
          <w:tab w:val="left" w:pos="704"/>
        </w:tabs>
        <w:ind w:left="84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1NjMzNTU2M2JhM2I0ZGM2YjFkOTgyNzA2ZjRiZDIifQ=="/>
  </w:docVars>
  <w:rsids>
    <w:rsidRoot w:val="007375D4"/>
    <w:rsid w:val="0067705E"/>
    <w:rsid w:val="006B4AC8"/>
    <w:rsid w:val="0071259E"/>
    <w:rsid w:val="007375D4"/>
    <w:rsid w:val="00753129"/>
    <w:rsid w:val="007942C7"/>
    <w:rsid w:val="0093642E"/>
    <w:rsid w:val="00B041C4"/>
    <w:rsid w:val="00E03187"/>
    <w:rsid w:val="033B66F2"/>
    <w:rsid w:val="063C0201"/>
    <w:rsid w:val="1AD80673"/>
    <w:rsid w:val="1CCA2E75"/>
    <w:rsid w:val="2C364A6B"/>
    <w:rsid w:val="5495703C"/>
    <w:rsid w:val="59DB1995"/>
    <w:rsid w:val="7A145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Calibri" w:hAnsi="Calibri" w:eastAsia="宋体" w:cs="宋体"/>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widowControl w:val="0"/>
      <w:spacing w:after="0" w:line="240" w:lineRule="auto"/>
    </w:pPr>
    <w:rPr>
      <w:rFonts w:ascii="Times New Roman" w:hAnsi="Times New Roman" w:cs="Times New Roman"/>
      <w:kern w:val="2"/>
      <w:szCs w:val="24"/>
    </w:rPr>
  </w:style>
  <w:style w:type="paragraph" w:styleId="3">
    <w:name w:val="Balloon Text"/>
    <w:basedOn w:val="1"/>
    <w:link w:val="13"/>
    <w:qFormat/>
    <w:uiPriority w:val="99"/>
    <w:pPr>
      <w:spacing w:after="0" w:line="240" w:lineRule="auto"/>
    </w:pPr>
    <w:rPr>
      <w:sz w:val="18"/>
      <w:szCs w:val="18"/>
    </w:rPr>
  </w:style>
  <w:style w:type="paragraph" w:styleId="4">
    <w:name w:val="footer"/>
    <w:basedOn w:val="1"/>
    <w:link w:val="16"/>
    <w:qFormat/>
    <w:uiPriority w:val="99"/>
    <w:pPr>
      <w:tabs>
        <w:tab w:val="center" w:pos="4153"/>
        <w:tab w:val="right" w:pos="8306"/>
      </w:tabs>
      <w:snapToGrid w:val="0"/>
      <w:spacing w:line="240" w:lineRule="auto"/>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4"/>
    <w:uiPriority w:val="99"/>
    <w:pPr>
      <w:widowControl/>
      <w:spacing w:after="120" w:line="264" w:lineRule="auto"/>
    </w:pPr>
    <w:rPr>
      <w:rFonts w:ascii="Calibri" w:hAnsi="Calibri" w:cs="宋体"/>
      <w:b/>
      <w:bCs/>
      <w:kern w:val="0"/>
      <w:szCs w:val="21"/>
    </w:rPr>
  </w:style>
  <w:style w:type="table" w:styleId="8">
    <w:name w:val="Table Grid"/>
    <w:basedOn w:val="7"/>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styleId="11">
    <w:name w:val="List Paragraph"/>
    <w:basedOn w:val="1"/>
    <w:qFormat/>
    <w:uiPriority w:val="34"/>
    <w:pPr>
      <w:spacing w:after="0" w:line="240" w:lineRule="auto"/>
      <w:ind w:firstLine="420" w:firstLineChars="200"/>
    </w:pPr>
    <w:rPr>
      <w:rFonts w:ascii="宋体" w:hAnsi="宋体"/>
      <w:sz w:val="24"/>
      <w:szCs w:val="24"/>
    </w:rPr>
  </w:style>
  <w:style w:type="character" w:customStyle="1" w:styleId="12">
    <w:name w:val="批注文字 字符"/>
    <w:basedOn w:val="9"/>
    <w:link w:val="2"/>
    <w:qFormat/>
    <w:uiPriority w:val="0"/>
    <w:rPr>
      <w:rFonts w:ascii="Times New Roman" w:hAnsi="Times New Roman" w:eastAsia="宋体" w:cs="Times New Roman"/>
      <w:szCs w:val="24"/>
    </w:rPr>
  </w:style>
  <w:style w:type="character" w:customStyle="1" w:styleId="13">
    <w:name w:val="批注框文本 字符"/>
    <w:basedOn w:val="9"/>
    <w:link w:val="3"/>
    <w:qFormat/>
    <w:uiPriority w:val="99"/>
    <w:rPr>
      <w:kern w:val="0"/>
      <w:sz w:val="18"/>
      <w:szCs w:val="18"/>
    </w:rPr>
  </w:style>
  <w:style w:type="character" w:customStyle="1" w:styleId="14">
    <w:name w:val="批注主题 字符"/>
    <w:basedOn w:val="12"/>
    <w:link w:val="6"/>
    <w:qFormat/>
    <w:uiPriority w:val="99"/>
    <w:rPr>
      <w:rFonts w:ascii="Times New Roman" w:hAnsi="Times New Roman" w:eastAsia="宋体" w:cs="Times New Roman"/>
      <w:b/>
      <w:bCs/>
      <w:kern w:val="0"/>
      <w:szCs w:val="21"/>
    </w:rPr>
  </w:style>
  <w:style w:type="character" w:customStyle="1" w:styleId="15">
    <w:name w:val="页眉 字符"/>
    <w:basedOn w:val="9"/>
    <w:link w:val="5"/>
    <w:qFormat/>
    <w:uiPriority w:val="99"/>
    <w:rPr>
      <w:kern w:val="0"/>
      <w:sz w:val="18"/>
      <w:szCs w:val="18"/>
    </w:rPr>
  </w:style>
  <w:style w:type="character" w:customStyle="1" w:styleId="16">
    <w:name w:val="页脚 字符"/>
    <w:basedOn w:val="9"/>
    <w:link w:val="4"/>
    <w:qFormat/>
    <w:uiPriority w:val="99"/>
    <w:rPr>
      <w:kern w:val="0"/>
      <w:sz w:val="18"/>
      <w:szCs w:val="18"/>
    </w:rPr>
  </w:style>
  <w:style w:type="paragraph" w:customStyle="1" w:styleId="17">
    <w:name w:val="修订1"/>
    <w:qFormat/>
    <w:uiPriority w:val="99"/>
    <w:rPr>
      <w:rFonts w:ascii="Calibri"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FD5A-5C1D-4B1A-BC2E-5094A4C3A68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1275</Words>
  <Characters>1377</Characters>
  <Lines>14</Lines>
  <Paragraphs>4</Paragraphs>
  <TotalTime>6</TotalTime>
  <ScaleCrop>false</ScaleCrop>
  <LinksUpToDate>false</LinksUpToDate>
  <CharactersWithSpaces>1385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2022-05-25T17:00:00Z</dcterms:created>
  <dc:creator>mindray</dc:creator>
  <cp:lastModifiedBy>嘟嘟</cp:lastModifiedBy>
  <dcterms:modified xsi:type="dcterms:W3CDTF">2023-07-14T07:28:34Z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3C2B9C8EA2144E0FB0787F19A525B194_13</vt:lpwstr>
  </property>
  <property fmtid="{D5CDD505-2E9C-101B-9397-08002B2CF9AE}" pid="3" name="KSOProductBuildVer">
    <vt:lpwstr>2052-11.1.0.14309</vt:lpwstr>
  </property>
</Properties>
</file>